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493929" w14:textId="77777777" w:rsidR="00E825FB" w:rsidRDefault="00E825FB" w:rsidP="00E825FB">
      <w:pPr>
        <w:jc w:val="center"/>
      </w:pPr>
    </w:p>
    <w:p w14:paraId="6422960F" w14:textId="77777777" w:rsidR="00E825FB" w:rsidRDefault="00E825FB" w:rsidP="00E825FB">
      <w:pPr>
        <w:jc w:val="center"/>
      </w:pPr>
    </w:p>
    <w:p w14:paraId="1DE3B82F" w14:textId="77777777" w:rsidR="00E825FB" w:rsidRDefault="00E825FB" w:rsidP="00E825FB">
      <w:pPr>
        <w:jc w:val="center"/>
      </w:pPr>
    </w:p>
    <w:p w14:paraId="441DAAC8" w14:textId="77777777" w:rsidR="00E825FB" w:rsidRDefault="00E825FB" w:rsidP="00E825FB">
      <w:pPr>
        <w:jc w:val="center"/>
      </w:pPr>
    </w:p>
    <w:p w14:paraId="412D8DFA" w14:textId="77777777" w:rsidR="00E825FB" w:rsidRDefault="00E825FB" w:rsidP="00E825FB">
      <w:pPr>
        <w:jc w:val="center"/>
      </w:pPr>
    </w:p>
    <w:p w14:paraId="0BAC8910" w14:textId="77777777" w:rsidR="00E825FB" w:rsidRDefault="00E825FB" w:rsidP="00E825FB">
      <w:pPr>
        <w:jc w:val="center"/>
      </w:pPr>
    </w:p>
    <w:p w14:paraId="71D21870" w14:textId="77777777" w:rsidR="00E825FB" w:rsidRDefault="00E825FB" w:rsidP="00E825FB">
      <w:pPr>
        <w:jc w:val="center"/>
      </w:pPr>
    </w:p>
    <w:p w14:paraId="2400725B" w14:textId="77777777" w:rsidR="00E825FB" w:rsidRDefault="00E825FB" w:rsidP="00E825FB">
      <w:pPr>
        <w:jc w:val="center"/>
      </w:pPr>
    </w:p>
    <w:p w14:paraId="402FD5AA" w14:textId="77777777" w:rsidR="00E825FB" w:rsidRDefault="00E825FB" w:rsidP="00E825FB">
      <w:pPr>
        <w:jc w:val="center"/>
      </w:pPr>
    </w:p>
    <w:p w14:paraId="7512EB19" w14:textId="77777777" w:rsidR="00E825FB" w:rsidRDefault="00E825FB" w:rsidP="00E825FB">
      <w:pPr>
        <w:jc w:val="center"/>
      </w:pPr>
    </w:p>
    <w:p w14:paraId="01E2E2A7" w14:textId="77777777" w:rsidR="009779B8" w:rsidRDefault="00BD2FF8" w:rsidP="00E825FB">
      <w:pPr>
        <w:jc w:val="center"/>
      </w:pPr>
      <w:r>
        <w:t>Medication Focused Case Study</w:t>
      </w:r>
    </w:p>
    <w:p w14:paraId="781DCC59" w14:textId="77777777" w:rsidR="00B53F09" w:rsidRDefault="00BD2FF8" w:rsidP="00E825FB">
      <w:pPr>
        <w:jc w:val="center"/>
      </w:pPr>
      <w:r>
        <w:t>Name</w:t>
      </w:r>
    </w:p>
    <w:p w14:paraId="2A356E91" w14:textId="7BCA05B0" w:rsidR="00B53F09" w:rsidRDefault="00BD2FF8" w:rsidP="00E825FB">
      <w:pPr>
        <w:jc w:val="center"/>
      </w:pPr>
      <w:r>
        <w:t>Institution of Affiliation</w:t>
      </w:r>
    </w:p>
    <w:p w14:paraId="0624B4FA" w14:textId="77777777" w:rsidR="00E825FB" w:rsidRDefault="00E825FB"/>
    <w:p w14:paraId="493F829B" w14:textId="77777777" w:rsidR="00E825FB" w:rsidRDefault="00E825FB"/>
    <w:p w14:paraId="24825F75" w14:textId="77777777" w:rsidR="00E825FB" w:rsidRDefault="00E825FB"/>
    <w:p w14:paraId="3894DB9A" w14:textId="77777777" w:rsidR="00E825FB" w:rsidRDefault="00E825FB"/>
    <w:p w14:paraId="41B98374" w14:textId="77777777" w:rsidR="00E825FB" w:rsidRDefault="00E825FB"/>
    <w:p w14:paraId="04F4D12F" w14:textId="77777777" w:rsidR="00E825FB" w:rsidRDefault="00E825FB"/>
    <w:p w14:paraId="3F09BBF6" w14:textId="77777777" w:rsidR="00E825FB" w:rsidRDefault="00E825FB"/>
    <w:p w14:paraId="737C9592" w14:textId="77777777" w:rsidR="00E825FB" w:rsidRDefault="00E825FB"/>
    <w:p w14:paraId="0D82EDA4" w14:textId="77777777" w:rsidR="00E825FB" w:rsidRDefault="00E825FB"/>
    <w:p w14:paraId="72E359C2" w14:textId="77777777" w:rsidR="00E825FB" w:rsidRDefault="00E825FB"/>
    <w:p w14:paraId="3F730B67" w14:textId="77777777" w:rsidR="00B53F09" w:rsidRDefault="00BD2FF8" w:rsidP="00E825FB">
      <w:pPr>
        <w:jc w:val="center"/>
      </w:pPr>
      <w:r>
        <w:lastRenderedPageBreak/>
        <w:t>Patient Overview</w:t>
      </w:r>
    </w:p>
    <w:p w14:paraId="3B894BDB" w14:textId="77777777" w:rsidR="00B53F09" w:rsidRDefault="00BD2FF8" w:rsidP="00E825FB">
      <w:pPr>
        <w:ind w:firstLine="720"/>
      </w:pPr>
      <w:r>
        <w:t xml:space="preserve">The patient is a 73-year-old Hispanic male. He has a past medical history of having chronic kidney disease stage III, Hypertension and heart disease. </w:t>
      </w:r>
      <w:r w:rsidR="00B67CA6">
        <w:t>He also has Non-ST Elevation Myocardial Infarction (NON-STEMI). The patient at the time of admission was diagnosed with a diabetic ketoacidosis. He has an increased risk of developing dehydration as evidenced by the development of diabetic ketoacidosis on admission. He has also an increased risk of developing acute kidney failure (AKI) due to the development of diabetic ketoacidosis that has been influenced by dehydration. In addition, the patient is at risk of developing hypoglycemia hence leading to unconsciousness and this is due to the fact that the patient is diabetic and has the development of diabetic emergency which is diabetic ketoacidosis.</w:t>
      </w:r>
    </w:p>
    <w:p w14:paraId="7A9A23B8" w14:textId="16F755A0" w:rsidR="004B40FA" w:rsidRPr="00E825FB" w:rsidRDefault="00BD2FF8" w:rsidP="00E825FB">
      <w:pPr>
        <w:jc w:val="center"/>
        <w:rPr>
          <w:b/>
        </w:rPr>
      </w:pPr>
      <w:r w:rsidRPr="00E825FB">
        <w:rPr>
          <w:b/>
        </w:rPr>
        <w:t>Medication Overview</w:t>
      </w:r>
    </w:p>
    <w:p w14:paraId="06594435" w14:textId="43EEBAFF" w:rsidR="004B40FA" w:rsidRDefault="00BD2FF8" w:rsidP="00E825FB">
      <w:pPr>
        <w:ind w:firstLine="720"/>
      </w:pPr>
      <w:r>
        <w:t>The medication prescribed is carvedilol. It is a non-cardioselective beta-blocker. It has some vasodilating properties due to its interaction with alpha-1 receptor blocking a</w:t>
      </w:r>
      <w:r>
        <w:t>ctivity</w:t>
      </w:r>
      <w:r w:rsidR="00D9759D">
        <w:t xml:space="preserve"> (</w:t>
      </w:r>
      <w:r w:rsidR="00D9759D">
        <w:rPr>
          <w:rFonts w:eastAsia="Times New Roman"/>
        </w:rPr>
        <w:t xml:space="preserve">Katzung  &amp; Trevor, </w:t>
      </w:r>
      <w:r w:rsidR="00D9759D" w:rsidRPr="00D9759D">
        <w:rPr>
          <w:rFonts w:eastAsia="Times New Roman"/>
        </w:rPr>
        <w:t>2015)</w:t>
      </w:r>
      <w:r>
        <w:t xml:space="preserve">. In high dose, carvedilol has </w:t>
      </w:r>
      <w:r w:rsidR="001B6DC8">
        <w:t>calcium</w:t>
      </w:r>
      <w:r>
        <w:t xml:space="preserve">-channel blocking activities. </w:t>
      </w:r>
      <w:r w:rsidR="001B6DC8">
        <w:t xml:space="preserve">It is used in the management of congestive heart failure, hypertension, left ventricular dysfunction secondary to myocardial infarction and angina pectoris. The recommended dose is 12.5mg PO BID for all the conditions and then taper up or down depending on the patient response to the condition. </w:t>
      </w:r>
      <w:r w:rsidR="00F34579">
        <w:t>The</w:t>
      </w:r>
      <w:r w:rsidR="001B6DC8">
        <w:t xml:space="preserve"> drug is administered orally. Side effects of the medication include dizziness, fatigue, hypotension, weight gain, hyperglycemia, diarrhea, </w:t>
      </w:r>
      <w:r w:rsidR="00DA2E5D">
        <w:t>bradycardia</w:t>
      </w:r>
      <w:r w:rsidR="001B6DC8">
        <w:t xml:space="preserve">, nausea, cough, headache, </w:t>
      </w:r>
      <w:r w:rsidR="00F34579">
        <w:t>rhinitis, vomiting, hypercholesterolemia, insomnia, thrombocytopenia, edema, hepatic injury, depression, deterioration of renal function, allergic reaction</w:t>
      </w:r>
      <w:r w:rsidR="00D9759D">
        <w:t xml:space="preserve"> (</w:t>
      </w:r>
      <w:r w:rsidR="00D9759D" w:rsidRPr="00D9759D">
        <w:rPr>
          <w:rFonts w:eastAsia="Times New Roman"/>
        </w:rPr>
        <w:t>Clark</w:t>
      </w:r>
      <w:r w:rsidR="00D9759D">
        <w:rPr>
          <w:rFonts w:eastAsia="Times New Roman"/>
        </w:rPr>
        <w:t xml:space="preserve"> et al. 2015)</w:t>
      </w:r>
      <w:r w:rsidR="00F34579">
        <w:t>. Carvedilol is contraindicated in a serious history of hypersensitivity reaction like stevens-johnson syndrome</w:t>
      </w:r>
      <w:r w:rsidR="005D1EAA">
        <w:t xml:space="preserve"> </w:t>
      </w:r>
      <w:r w:rsidR="005D1EAA">
        <w:lastRenderedPageBreak/>
        <w:t>(SJS)</w:t>
      </w:r>
      <w:bookmarkStart w:id="0" w:name="_GoBack"/>
      <w:bookmarkEnd w:id="0"/>
      <w:r w:rsidR="00F34579">
        <w:t xml:space="preserve">, anaphylactic shock and angioedema, bronchial asthma, chronic obstructive pulmonary disease (COPD), second or third-degree atrioventricular block and in severe hepatic impairment. </w:t>
      </w:r>
    </w:p>
    <w:p w14:paraId="21CF47EB" w14:textId="299C8F34" w:rsidR="00672966" w:rsidRPr="00E825FB" w:rsidRDefault="00BD2FF8" w:rsidP="00E825FB">
      <w:pPr>
        <w:jc w:val="center"/>
        <w:rPr>
          <w:b/>
        </w:rPr>
      </w:pPr>
      <w:r w:rsidRPr="00E825FB">
        <w:rPr>
          <w:b/>
        </w:rPr>
        <w:t>Nursing Implications</w:t>
      </w:r>
    </w:p>
    <w:p w14:paraId="2806C6C8" w14:textId="77777777" w:rsidR="00235F11" w:rsidRDefault="00BD2FF8" w:rsidP="00E825FB">
      <w:pPr>
        <w:ind w:firstLine="720"/>
      </w:pPr>
      <w:r>
        <w:t>When administering and monitoring the effectiveness of the medication there are procedures that the nurse should perform so that the patient can benefit. One of the intervention is to ensure that the pat</w:t>
      </w:r>
      <w:r>
        <w:t xml:space="preserve">ient is well hydrated to avoid the patient going into renal failure which would </w:t>
      </w:r>
      <w:r w:rsidR="00957FFE">
        <w:t>ultimately</w:t>
      </w:r>
      <w:r>
        <w:t xml:space="preserve"> lead to acute kidney failure. In addition, monitoring the patient heart activity through </w:t>
      </w:r>
      <w:r w:rsidR="00957FFE">
        <w:t>an electrocardiogram (ECG) is important to ensure that the patient does not develop dysrhythmias as a side effect</w:t>
      </w:r>
      <w:r w:rsidR="003637D5">
        <w:t xml:space="preserve"> (</w:t>
      </w:r>
      <w:r w:rsidR="003637D5" w:rsidRPr="00D9759D">
        <w:rPr>
          <w:rFonts w:eastAsia="Times New Roman"/>
        </w:rPr>
        <w:t>Ponikowski</w:t>
      </w:r>
      <w:r w:rsidR="003637D5">
        <w:rPr>
          <w:rFonts w:eastAsia="Times New Roman"/>
        </w:rPr>
        <w:t xml:space="preserve"> et al., 2016)</w:t>
      </w:r>
      <w:r w:rsidR="00957FFE">
        <w:t xml:space="preserve">. The arrhythmias can be due to the effect of the medication on calcium channel activities. Ensure that the patient does not develop an allergic reaction, both systemic and local. This is monitored by the nurse have a close look at the patient condition every few minutes after administering the medication until they are stable. This can also be avoided by confirming that the patient is not allergic to the medication as indicated in their file. </w:t>
      </w:r>
      <w:r w:rsidR="008609CD">
        <w:t xml:space="preserve">Monitoring the vital signs of the patient is important as it can indicate if there is any serious development after administration of the medication. Always confirm the medication, dose and the route of administration to ensure that the right medication has been administered to the right patient. </w:t>
      </w:r>
      <w:r w:rsidR="009C606B">
        <w:t>In</w:t>
      </w:r>
      <w:r w:rsidR="008609CD">
        <w:t xml:space="preserve"> addition, monitor the </w:t>
      </w:r>
      <w:r w:rsidR="009C606B">
        <w:t>input-output by having a chart where fluids input is charted and the urine output is also recorded</w:t>
      </w:r>
      <w:r w:rsidR="003637D5">
        <w:t xml:space="preserve"> (</w:t>
      </w:r>
      <w:r w:rsidR="003637D5" w:rsidRPr="00D9759D">
        <w:rPr>
          <w:rFonts w:eastAsia="Times New Roman"/>
        </w:rPr>
        <w:t>DiNicolantonio</w:t>
      </w:r>
      <w:r w:rsidR="003637D5">
        <w:rPr>
          <w:rFonts w:eastAsia="Times New Roman"/>
        </w:rPr>
        <w:t xml:space="preserve"> et al., 2015)</w:t>
      </w:r>
      <w:r w:rsidR="009C606B">
        <w:t>.</w:t>
      </w:r>
      <w:r w:rsidR="007F2F0E">
        <w:t xml:space="preserve"> </w:t>
      </w:r>
      <w:r w:rsidR="00DA2E5D">
        <w:t xml:space="preserve">Ensure that the patient lies down in a recovery position after administration of the medication as it can cause dizziness and even syncope hence avoids accidents. Monitor the patient skin changes and also mucosal changes as this is meant to monitor any form of allergic reaction. In addition, monitoring of the blood sugars through random blood sugar measurements is important to ensure that the patient sugar levels are within the acceptable limits. Monitor the blood pressure of the </w:t>
      </w:r>
      <w:r w:rsidR="00DA2E5D">
        <w:lastRenderedPageBreak/>
        <w:t>patient since the medication can cause hypotension since it has vasodilation effects. Also, the patient pulse rate, rhythm, and volume should be monitored to avoid development of bradycardia since it is a side effect of the condition.</w:t>
      </w:r>
    </w:p>
    <w:p w14:paraId="526AA6E4" w14:textId="77777777" w:rsidR="00235F11" w:rsidRPr="00E825FB" w:rsidRDefault="00BD2FF8" w:rsidP="00E825FB">
      <w:pPr>
        <w:jc w:val="center"/>
        <w:rPr>
          <w:b/>
        </w:rPr>
      </w:pPr>
      <w:r w:rsidRPr="00E825FB">
        <w:rPr>
          <w:b/>
        </w:rPr>
        <w:t>Patient Education Plan</w:t>
      </w:r>
    </w:p>
    <w:p w14:paraId="60914AA6" w14:textId="77777777" w:rsidR="00672966" w:rsidRDefault="00BD2FF8" w:rsidP="00E825FB">
      <w:pPr>
        <w:ind w:firstLine="720"/>
      </w:pPr>
      <w:r>
        <w:t xml:space="preserve">The patient belongs to the geriatric age group. Therefore he </w:t>
      </w:r>
      <w:r>
        <w:t>needs a lot of teaching and monitoring so that the medication is effective and plays the role expected. He needs to know that he has developed diabetes and therefore management is needed. He should learn the kind of nutrition that he needs to take in order</w:t>
      </w:r>
      <w:r>
        <w:t xml:space="preserve"> to manage his diabetic condition. He needs to learn how to take diabetes medication if introduced. This means that he needs to learn about poly-pharmacy and the challenges that accompany it</w:t>
      </w:r>
      <w:r w:rsidR="003637D5">
        <w:t xml:space="preserve"> (</w:t>
      </w:r>
      <w:r w:rsidR="003637D5" w:rsidRPr="00D9759D">
        <w:rPr>
          <w:rFonts w:eastAsia="Times New Roman"/>
        </w:rPr>
        <w:t>Ponikowski</w:t>
      </w:r>
      <w:r w:rsidR="003637D5">
        <w:rPr>
          <w:rFonts w:eastAsia="Times New Roman"/>
        </w:rPr>
        <w:t xml:space="preserve"> et al., 2016)</w:t>
      </w:r>
      <w:r>
        <w:t xml:space="preserve">. In addition, the patient should be </w:t>
      </w:r>
      <w:r>
        <w:t>taught about the side effects of the medication that he is on and what to look for and when to report to the hospital for a further checkup. He also needs to have constant renal and hepatic organ functions checked as the medication has a negative effect on</w:t>
      </w:r>
      <w:r>
        <w:t xml:space="preserve"> them. In addition, due to his age, there is the need to have a family member or a person taking care of him. </w:t>
      </w:r>
      <w:r w:rsidR="00203B0D">
        <w:t xml:space="preserve">The patient should be taught how to monitor his blood sugar levels and the danger signs of having a complication related to high blood sugars. In addition, the patient should know the danger signs of high blood pressure and </w:t>
      </w:r>
      <w:r w:rsidR="00D9759D">
        <w:t>when he should visit the hospital for a checkup. He also needs to learn that in time he may need to start dialysis due to his kidney failure. The improvement of the signs and symptoms that brought him to the hospital is an important sign that he is responding to the treatment positively.</w:t>
      </w:r>
    </w:p>
    <w:p w14:paraId="762E7A94" w14:textId="77777777" w:rsidR="00E825FB" w:rsidRDefault="00E825FB"/>
    <w:p w14:paraId="702184E9" w14:textId="77777777" w:rsidR="00E825FB" w:rsidRDefault="00E825FB"/>
    <w:p w14:paraId="50F4D64E" w14:textId="77777777" w:rsidR="00E825FB" w:rsidRDefault="00E825FB"/>
    <w:p w14:paraId="43842861" w14:textId="77777777" w:rsidR="00D9759D" w:rsidRDefault="00BD2FF8" w:rsidP="00E825FB">
      <w:pPr>
        <w:jc w:val="center"/>
      </w:pPr>
      <w:r>
        <w:lastRenderedPageBreak/>
        <w:t>References</w:t>
      </w:r>
    </w:p>
    <w:p w14:paraId="0DBDADEC" w14:textId="77777777" w:rsidR="00E825FB" w:rsidRPr="00D9759D" w:rsidRDefault="00E825FB" w:rsidP="00E825FB">
      <w:pPr>
        <w:ind w:left="720" w:hanging="720"/>
        <w:rPr>
          <w:rFonts w:eastAsia="Times New Roman"/>
        </w:rPr>
      </w:pPr>
      <w:r w:rsidRPr="00D9759D">
        <w:rPr>
          <w:rFonts w:eastAsia="Times New Roman"/>
        </w:rPr>
        <w:t xml:space="preserve">Clark, A. L., Coats, A. J., Krum, H., Katus, H. A., Mohacsi, P., Salekin, D., ... &amp; Anker, S. D. (2017). Effect of beta‐adrenergic blockade with carvedilol on cachexia in severe chronic heart failure: results from the COPERNICUS trial. </w:t>
      </w:r>
      <w:r w:rsidRPr="00D9759D">
        <w:rPr>
          <w:rFonts w:eastAsia="Times New Roman"/>
          <w:i/>
          <w:iCs/>
        </w:rPr>
        <w:t>Journal of cachexia, sarcopenia, and muscle</w:t>
      </w:r>
      <w:r w:rsidRPr="00D9759D">
        <w:rPr>
          <w:rFonts w:eastAsia="Times New Roman"/>
        </w:rPr>
        <w:t xml:space="preserve">, </w:t>
      </w:r>
      <w:r w:rsidRPr="00D9759D">
        <w:rPr>
          <w:rFonts w:eastAsia="Times New Roman"/>
          <w:i/>
          <w:iCs/>
        </w:rPr>
        <w:t>8</w:t>
      </w:r>
      <w:r w:rsidRPr="00D9759D">
        <w:rPr>
          <w:rFonts w:eastAsia="Times New Roman"/>
        </w:rPr>
        <w:t>(4), 549-556.</w:t>
      </w:r>
    </w:p>
    <w:p w14:paraId="40C5FDB1" w14:textId="77777777" w:rsidR="00E825FB" w:rsidRPr="00D9759D" w:rsidRDefault="00E825FB" w:rsidP="00E825FB">
      <w:pPr>
        <w:ind w:left="720" w:hanging="720"/>
        <w:rPr>
          <w:rFonts w:eastAsia="Times New Roman"/>
        </w:rPr>
      </w:pPr>
      <w:r w:rsidRPr="00D9759D">
        <w:rPr>
          <w:rFonts w:eastAsia="Times New Roman"/>
        </w:rPr>
        <w:t xml:space="preserve">DiNicolantonio, J. J., Fares, H., Niazi, A. K., Chatterjee, S., D'Ascenzo, F., Cerrato, E., ... &amp; O'Keefe, J. H. (2015). β-Blockers in hypertension, diabetes, heart failure and acute myocardial infarction: a review of the literature. </w:t>
      </w:r>
      <w:r w:rsidRPr="00D9759D">
        <w:rPr>
          <w:rFonts w:eastAsia="Times New Roman"/>
          <w:i/>
          <w:iCs/>
        </w:rPr>
        <w:t>Open heart</w:t>
      </w:r>
      <w:r w:rsidRPr="00D9759D">
        <w:rPr>
          <w:rFonts w:eastAsia="Times New Roman"/>
        </w:rPr>
        <w:t xml:space="preserve">, </w:t>
      </w:r>
      <w:r w:rsidRPr="00D9759D">
        <w:rPr>
          <w:rFonts w:eastAsia="Times New Roman"/>
          <w:i/>
          <w:iCs/>
        </w:rPr>
        <w:t>2</w:t>
      </w:r>
      <w:r w:rsidRPr="00D9759D">
        <w:rPr>
          <w:rFonts w:eastAsia="Times New Roman"/>
        </w:rPr>
        <w:t>(1), e000230.</w:t>
      </w:r>
    </w:p>
    <w:p w14:paraId="06A249AB" w14:textId="77777777" w:rsidR="00E825FB" w:rsidRPr="00D9759D" w:rsidRDefault="00E825FB" w:rsidP="00E825FB">
      <w:pPr>
        <w:ind w:left="720" w:hanging="720"/>
        <w:rPr>
          <w:rFonts w:eastAsia="Times New Roman"/>
        </w:rPr>
      </w:pPr>
      <w:r w:rsidRPr="00D9759D">
        <w:rPr>
          <w:rFonts w:eastAsia="Times New Roman"/>
        </w:rPr>
        <w:t xml:space="preserve">Katzung, B. G., &amp; Trevor, A. J. (Eds.). (2015). </w:t>
      </w:r>
      <w:r w:rsidRPr="00D9759D">
        <w:rPr>
          <w:rFonts w:eastAsia="Times New Roman"/>
          <w:i/>
          <w:iCs/>
        </w:rPr>
        <w:t>Basic &amp; clinical pharmacology</w:t>
      </w:r>
      <w:r w:rsidRPr="00D9759D">
        <w:rPr>
          <w:rFonts w:eastAsia="Times New Roman"/>
        </w:rPr>
        <w:t xml:space="preserve"> (pp. 753-756). New York, NY: McGraw-Hill.</w:t>
      </w:r>
    </w:p>
    <w:p w14:paraId="1AF0DAD9" w14:textId="77777777" w:rsidR="00E825FB" w:rsidRPr="00D9759D" w:rsidRDefault="00E825FB" w:rsidP="00E825FB">
      <w:pPr>
        <w:ind w:left="720" w:hanging="720"/>
        <w:rPr>
          <w:rFonts w:eastAsia="Times New Roman"/>
        </w:rPr>
      </w:pPr>
      <w:r w:rsidRPr="00D9759D">
        <w:rPr>
          <w:rFonts w:eastAsia="Times New Roman"/>
        </w:rPr>
        <w:t xml:space="preserve">Ponikowski, P., Voors, A. A., Anker, S. D., Bueno, H., Cleland, J. G., Coats, A. J., ... &amp; Jessup, M. (2016). 2016 ESC Guidelines for the diagnosis and treatment of acute and chronic heart failure: The Task Force for the diagnosis and treatment of acute and chronic heart failure of the European Society of Cardiology (ESC). Developed with the special contribution of the Heart Failure Association (HFA) of the ESC. </w:t>
      </w:r>
      <w:r w:rsidRPr="00D9759D">
        <w:rPr>
          <w:rFonts w:eastAsia="Times New Roman"/>
          <w:i/>
          <w:iCs/>
        </w:rPr>
        <w:t>European journal of heart failure</w:t>
      </w:r>
      <w:r w:rsidRPr="00D9759D">
        <w:rPr>
          <w:rFonts w:eastAsia="Times New Roman"/>
        </w:rPr>
        <w:t xml:space="preserve">, </w:t>
      </w:r>
      <w:r w:rsidRPr="00D9759D">
        <w:rPr>
          <w:rFonts w:eastAsia="Times New Roman"/>
          <w:i/>
          <w:iCs/>
        </w:rPr>
        <w:t>18</w:t>
      </w:r>
      <w:r w:rsidRPr="00D9759D">
        <w:rPr>
          <w:rFonts w:eastAsia="Times New Roman"/>
        </w:rPr>
        <w:t>(8), 891-975.</w:t>
      </w:r>
    </w:p>
    <w:p w14:paraId="02627097" w14:textId="77777777" w:rsidR="00D9759D" w:rsidRDefault="00D9759D"/>
    <w:sectPr w:rsidR="00D9759D" w:rsidSect="004C63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79BDA7" w14:textId="77777777" w:rsidR="00BD2FF8" w:rsidRDefault="00BD2FF8">
      <w:pPr>
        <w:spacing w:line="240" w:lineRule="auto"/>
      </w:pPr>
      <w:r>
        <w:separator/>
      </w:r>
    </w:p>
  </w:endnote>
  <w:endnote w:type="continuationSeparator" w:id="0">
    <w:p w14:paraId="2D7D6F2F" w14:textId="77777777" w:rsidR="00BD2FF8" w:rsidRDefault="00BD2F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5FD56F" w14:textId="77777777" w:rsidR="00BD2FF8" w:rsidRDefault="00BD2FF8">
      <w:pPr>
        <w:spacing w:line="240" w:lineRule="auto"/>
      </w:pPr>
      <w:r>
        <w:separator/>
      </w:r>
    </w:p>
  </w:footnote>
  <w:footnote w:type="continuationSeparator" w:id="0">
    <w:p w14:paraId="3DB2C359" w14:textId="77777777" w:rsidR="00BD2FF8" w:rsidRDefault="00BD2FF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E59E75" w14:textId="77777777" w:rsidR="004C63D0" w:rsidRDefault="00BD2FF8">
    <w:pPr>
      <w:pStyle w:val="Header"/>
      <w:jc w:val="right"/>
    </w:pPr>
    <w:r>
      <w:t xml:space="preserve">MEDICATION FOCUSSED CASE STUDY                                                                                 </w:t>
    </w:r>
    <w:sdt>
      <w:sdtPr>
        <w:id w:val="-15543035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D1EAA">
          <w:rPr>
            <w:noProof/>
          </w:rPr>
          <w:t>5</w:t>
        </w:r>
        <w:r>
          <w:rPr>
            <w:noProof/>
          </w:rPr>
          <w:fldChar w:fldCharType="end"/>
        </w:r>
      </w:sdtContent>
    </w:sdt>
  </w:p>
  <w:p w14:paraId="0BFCA7E7" w14:textId="77777777" w:rsidR="004C63D0" w:rsidRDefault="004C63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5B750" w14:textId="77777777" w:rsidR="004C63D0" w:rsidRDefault="00BD2FF8">
    <w:pPr>
      <w:pStyle w:val="Header"/>
      <w:jc w:val="right"/>
    </w:pPr>
    <w:r>
      <w:t xml:space="preserve">Running head: MEDICATION FOCUSSED CASE STUDY                                                      </w:t>
    </w:r>
    <w:sdt>
      <w:sdtPr>
        <w:id w:val="-15698741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D1EAA">
          <w:rPr>
            <w:noProof/>
          </w:rPr>
          <w:t>1</w:t>
        </w:r>
        <w:r>
          <w:rPr>
            <w:noProof/>
          </w:rPr>
          <w:fldChar w:fldCharType="end"/>
        </w:r>
      </w:sdtContent>
    </w:sdt>
  </w:p>
  <w:p w14:paraId="3B163D86" w14:textId="77777777" w:rsidR="004C63D0" w:rsidRDefault="004C63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F09"/>
    <w:rsid w:val="000A25EF"/>
    <w:rsid w:val="001B6DC8"/>
    <w:rsid w:val="00203B0D"/>
    <w:rsid w:val="00235F11"/>
    <w:rsid w:val="003637D5"/>
    <w:rsid w:val="00407B8F"/>
    <w:rsid w:val="0042285A"/>
    <w:rsid w:val="004B40FA"/>
    <w:rsid w:val="004C63D0"/>
    <w:rsid w:val="005D1EAA"/>
    <w:rsid w:val="00672966"/>
    <w:rsid w:val="006C1B5D"/>
    <w:rsid w:val="00717AB1"/>
    <w:rsid w:val="007A4FAC"/>
    <w:rsid w:val="007F2F0E"/>
    <w:rsid w:val="008609CD"/>
    <w:rsid w:val="00957FFE"/>
    <w:rsid w:val="009779B8"/>
    <w:rsid w:val="009C606B"/>
    <w:rsid w:val="00A10E5C"/>
    <w:rsid w:val="00B53F09"/>
    <w:rsid w:val="00B67CA6"/>
    <w:rsid w:val="00BB4FF9"/>
    <w:rsid w:val="00BD2FF8"/>
    <w:rsid w:val="00D9759D"/>
    <w:rsid w:val="00DA2E5D"/>
    <w:rsid w:val="00E825FB"/>
    <w:rsid w:val="00F34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3BED69-B0E6-451E-ADC1-30AFE7CF2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3D0"/>
    <w:pPr>
      <w:tabs>
        <w:tab w:val="center" w:pos="4680"/>
        <w:tab w:val="right" w:pos="9360"/>
      </w:tabs>
      <w:spacing w:line="240" w:lineRule="auto"/>
    </w:pPr>
  </w:style>
  <w:style w:type="character" w:customStyle="1" w:styleId="HeaderChar">
    <w:name w:val="Header Char"/>
    <w:basedOn w:val="DefaultParagraphFont"/>
    <w:link w:val="Header"/>
    <w:uiPriority w:val="99"/>
    <w:rsid w:val="004C63D0"/>
  </w:style>
  <w:style w:type="paragraph" w:styleId="Footer">
    <w:name w:val="footer"/>
    <w:basedOn w:val="Normal"/>
    <w:link w:val="FooterChar"/>
    <w:uiPriority w:val="99"/>
    <w:unhideWhenUsed/>
    <w:rsid w:val="004C63D0"/>
    <w:pPr>
      <w:tabs>
        <w:tab w:val="center" w:pos="4680"/>
        <w:tab w:val="right" w:pos="9360"/>
      </w:tabs>
      <w:spacing w:line="240" w:lineRule="auto"/>
    </w:pPr>
  </w:style>
  <w:style w:type="character" w:customStyle="1" w:styleId="FooterChar">
    <w:name w:val="Footer Char"/>
    <w:basedOn w:val="DefaultParagraphFont"/>
    <w:link w:val="Footer"/>
    <w:uiPriority w:val="99"/>
    <w:rsid w:val="004C63D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825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25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1037</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2018-07-20T05:52:00Z</dcterms:created>
  <dcterms:modified xsi:type="dcterms:W3CDTF">2018-07-20T07:38:00Z</dcterms:modified>
</cp:coreProperties>
</file>